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B">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Politică Europeană</w:t>
      </w:r>
    </w:p>
    <w:p w:rsidR="00000000" w:rsidDel="00000000" w:rsidP="00000000" w:rsidRDefault="00000000" w:rsidRPr="00000000" w14:paraId="0000000C">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10">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u w:val="single"/>
          <w:rtl w:val="0"/>
        </w:rPr>
        <w:t xml:space="preserve">2</w:t>
      </w: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u w:val="single"/>
          <w:rtl w:val="0"/>
        </w:rPr>
        <w:t xml:space="preserve">2</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Titularul cursului: </w:t>
      </w:r>
      <w:r w:rsidDel="00000000" w:rsidR="00000000" w:rsidRPr="00000000">
        <w:rPr>
          <w:rFonts w:ascii="Times New Roman" w:cs="Times New Roman" w:eastAsia="Times New Roman" w:hAnsi="Times New Roman"/>
          <w:i w:val="1"/>
          <w:iCs w:val="1"/>
          <w:rtl w:val="0"/>
        </w:rPr>
        <w:t xml:space="preserve">Lect. Univ. Dr. Claudiu Craciun</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tl w:val="0"/>
        </w:rPr>
      </w:r>
    </w:p>
    <w:tbl>
      <w:tblPr>
        <w:tblStyle w:val="Table1"/>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117"/>
        <w:gridCol w:w="2029"/>
        <w:gridCol w:w="1454"/>
        <w:gridCol w:w="1454"/>
        <w:gridCol w:w="1454"/>
        <w:gridCol w:w="1239"/>
        <w:tblGridChange w:id="0">
          <w:tblGrid>
            <w:gridCol w:w="2117"/>
            <w:gridCol w:w="2029"/>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C=28,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S=28,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360" w:lineRule="auto"/>
              <w:jc w:val="center"/>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6</w:t>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A. OBIECTIVELE DISCIPLINEI</w:t>
      </w:r>
      <w:r w:rsidDel="00000000" w:rsidR="00000000" w:rsidRPr="00000000">
        <w:rPr>
          <w:rtl w:val="0"/>
        </w:rPr>
      </w:r>
    </w:p>
    <w:p w:rsidR="00000000" w:rsidDel="00000000" w:rsidP="00000000" w:rsidRDefault="00000000" w:rsidRPr="00000000" w14:paraId="0000002E">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O1: Utilizarea unor concepte fundamentale din domeniul integrării europene și politicii comparate. </w:t>
      </w:r>
    </w:p>
    <w:p w:rsidR="00000000" w:rsidDel="00000000" w:rsidP="00000000" w:rsidRDefault="00000000" w:rsidRPr="00000000" w14:paraId="0000002F">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O2: Utilizarea abordărilor  teoretice şi empirice din zona teoriei politice, a politicii comparate şi sociologiei politice pentru analiza politicii europene,  atât în zona politicii domestice a ţărilor europene cât şi la nivel supranaţional, ale mecanismelor şi proceselor politice europene.</w:t>
      </w:r>
    </w:p>
    <w:p w:rsidR="00000000" w:rsidDel="00000000" w:rsidP="00000000" w:rsidRDefault="00000000" w:rsidRPr="00000000" w14:paraId="00000030">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O3: Cercetarea dinamicii politice europene ca interacţiune între nivelurile naţional şi comunitar.  </w:t>
      </w:r>
    </w:p>
    <w:p w:rsidR="00000000" w:rsidDel="00000000" w:rsidP="00000000" w:rsidRDefault="00000000" w:rsidRPr="00000000" w14:paraId="00000031">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O4: Cercetarea dezvoltării clivajelor politice europene și a familiilor europene de partide.</w:t>
      </w:r>
    </w:p>
    <w:p w:rsidR="00000000" w:rsidDel="00000000" w:rsidP="00000000" w:rsidRDefault="00000000" w:rsidRPr="00000000" w14:paraId="00000032">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O5: Cercetarea problematicii europenizării sistemelor politice şi administrative a statelor europene, cu focalizare asupra României.</w:t>
      </w:r>
    </w:p>
    <w:p w:rsidR="00000000" w:rsidDel="00000000" w:rsidP="00000000" w:rsidRDefault="00000000" w:rsidRPr="00000000" w14:paraId="00000033">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O6: Cercetarea fenomenelor euroscepticismului și populismului european.</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B. PRECONDIŢII DE ACCESARE A DISCIPLINEI</w:t>
      </w:r>
      <w:r w:rsidDel="00000000" w:rsidR="00000000" w:rsidRPr="00000000">
        <w:rPr>
          <w:rtl w:val="0"/>
        </w:rPr>
      </w:r>
    </w:p>
    <w:tbl>
      <w:tblPr>
        <w:tblStyle w:val="Table2"/>
        <w:tblW w:w="96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39"/>
        <w:tblGridChange w:id="0">
          <w:tblGrid>
            <w:gridCol w:w="9639"/>
          </w:tblGrid>
        </w:tblGridChange>
      </w:tblGrid>
      <w:tr>
        <w:trPr>
          <w:cantSplit w:val="0"/>
          <w:tblHeader w:val="0"/>
        </w:trPr>
        <w:tc>
          <w:tcPr>
            <w:shd w:fill="auto" w:val="clear"/>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Denumire disciplină</w:t>
            </w:r>
          </w:p>
        </w:tc>
      </w:tr>
      <w:tr>
        <w:trPr>
          <w:cantSplit w:val="0"/>
          <w:tblHeader w:val="0"/>
        </w:trPr>
        <w:tc>
          <w:tcPr>
            <w:shd w:fill="auto" w:val="clear"/>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Introducere în studii europene (opțional)</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tc>
      </w:tr>
    </w:tbl>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C. COMPETENŢE SPECIFICE</w:t>
      </w:r>
      <w:r w:rsidDel="00000000" w:rsidR="00000000" w:rsidRPr="00000000">
        <w:rPr>
          <w:rtl w:val="0"/>
        </w:rPr>
      </w:r>
    </w:p>
    <w:p w:rsidR="00000000" w:rsidDel="00000000" w:rsidP="00000000" w:rsidRDefault="00000000" w:rsidRPr="00000000" w14:paraId="0000003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Disciplina Politică europeană vizează următoarele competențe profesionale specifice programului de studiu:</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(C1):</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Înțelegerea proceselor politice europene din perspectiva politicii comparate.</w:t>
      </w: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(C2):</w:t>
      </w:r>
      <w:r w:rsidDel="00000000" w:rsidR="00000000" w:rsidRPr="00000000">
        <w:rPr>
          <w:rFonts w:ascii="Times New Roman" w:cs="Times New Roman" w:eastAsia="Times New Roman" w:hAnsi="Times New Roman"/>
          <w:color w:val="000000"/>
          <w:rtl w:val="0"/>
        </w:rPr>
        <w:t xml:space="preserve"> Utilizarea</w:t>
      </w:r>
      <w:r w:rsidDel="00000000" w:rsidR="00000000" w:rsidRPr="00000000">
        <w:rPr>
          <w:rFonts w:ascii="Times New Roman" w:cs="Times New Roman" w:eastAsia="Times New Roman" w:hAnsi="Times New Roman"/>
          <w:rtl w:val="0"/>
        </w:rPr>
        <w:t xml:space="preserve"> metodologiei și instrumentelor de cercetare de bază în cercetarea politicii europene</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(C3):</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Capacitatea de a analiza și interpreta dinamica politică actuală a Uniunii Europene.</w:t>
      </w: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rPr>
      </w:pPr>
      <w:r w:rsidDel="00000000" w:rsidR="00000000" w:rsidRPr="00000000">
        <w:rPr>
          <w:rtl w:val="0"/>
        </w:rPr>
      </w:r>
    </w:p>
    <w:sdt>
      <w:sdtPr>
        <w:lock w:val="contentLocked"/>
        <w:id w:val="1434812702"/>
        <w:tag w:val="goog_rdk_0"/>
      </w:sdtPr>
      <w:sdtContent>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fişei disciplinei Politica europeană a avut loc în urma discutării conţinutului disciplinei şi a cerinţelor practice cu specialişti şi practicieni din domeniu care îşi desfăşoară activitatea în domeniul politicii externe și diplomației, dar şi pornind de la competenţele profesionale cerute de piaţa muncii.</w:t>
                </w:r>
              </w:p>
            </w:tc>
          </w:tr>
        </w:tbl>
      </w:sdtContent>
    </w:sdt>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rPr>
      </w:pPr>
      <w:r w:rsidDel="00000000" w:rsidR="00000000" w:rsidRPr="00000000">
        <w:rPr>
          <w:rtl w:val="0"/>
        </w:rPr>
      </w:r>
    </w:p>
    <w:sdt>
      <w:sdtPr>
        <w:lock w:val="contentLocked"/>
        <w:id w:val="123378427"/>
        <w:tag w:val="goog_rdk_1"/>
      </w:sdtPr>
      <w:sdtContent>
        <w:tbl>
          <w:tblPr>
            <w:tblStyle w:val="Table4"/>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43">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4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Studentul/Absolventul recunoaște, analizează și explică procedurile legate de aplicarea politicilor guvernamentale la toate nivelurile administrației publice.</w:t>
                </w:r>
              </w:p>
              <w:p w:rsidR="00000000" w:rsidDel="00000000" w:rsidP="00000000" w:rsidRDefault="00000000" w:rsidRPr="00000000" w14:paraId="00000045">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C9: Studentul/Absolventul descrie și analizează concepte, teorii și paradigme utilizate în domeniul relațiilor internaționale.</w:t>
                </w:r>
              </w:p>
              <w:p w:rsidR="00000000" w:rsidDel="00000000" w:rsidP="00000000" w:rsidRDefault="00000000" w:rsidRPr="00000000" w14:paraId="0000004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C10: Studentul/Absolventul arată cunoaștere aprofundată si înțelegere complexă a domeniului relațiilor internaționale și studiilor europene.</w:t>
                </w:r>
              </w:p>
              <w:p w:rsidR="00000000" w:rsidDel="00000000" w:rsidP="00000000" w:rsidRDefault="00000000" w:rsidRPr="00000000" w14:paraId="00000047">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49">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4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A5: Studentul/Absolventul dezvoltă și demonstrează cunoașterea aprofundată și înțelegerea complexă a unui anumit domeniu de cercetare, inclusiv a cercetării responsabile, a principiilor etice și de integritate științifică în materie de cercetare, respectul vieții private și a cerințelor RGPD, legate de activitățile de cercetare dintr-o anumită disciplină.</w:t>
                </w:r>
              </w:p>
              <w:p w:rsidR="00000000" w:rsidDel="00000000" w:rsidP="00000000" w:rsidRDefault="00000000" w:rsidRPr="00000000" w14:paraId="0000004B">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4C">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D">
                <w:pPr>
                  <w:spacing w:after="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4E">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4F">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5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51">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R5: Studentul/Absolventul lucrează cu încredere în cadrul unui grup, fiecare făcându-și partea lui în serviciul întregului.</w:t>
                </w:r>
              </w:p>
            </w:tc>
          </w:tr>
        </w:tbl>
      </w:sdtContent>
    </w:sdt>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 CONŢINUTUL DISCIPLINEI </w:t>
      </w:r>
      <w:r w:rsidDel="00000000" w:rsidR="00000000" w:rsidRPr="00000000">
        <w:rPr>
          <w:rtl w:val="0"/>
        </w:rPr>
      </w:r>
    </w:p>
    <w:p w:rsidR="00000000" w:rsidDel="00000000" w:rsidP="00000000" w:rsidRDefault="00000000" w:rsidRPr="00000000" w14:paraId="00000055">
      <w:pPr>
        <w:numPr>
          <w:ilvl w:val="0"/>
          <w:numId w:val="1"/>
        </w:numPr>
        <w:pBdr>
          <w:top w:space="0" w:sz="0" w:val="nil"/>
          <w:left w:space="0" w:sz="0" w:val="nil"/>
          <w:bottom w:space="0" w:sz="0" w:val="nil"/>
          <w:right w:space="0" w:sz="0" w:val="nil"/>
          <w:between w:space="0" w:sz="0" w:val="nil"/>
        </w:pBdr>
        <w:spacing w:after="0" w:line="240" w:lineRule="auto"/>
        <w:ind w:left="400" w:hanging="360"/>
        <w:rPr>
          <w:rFonts w:ascii="Times New Roman" w:cs="Times New Roman" w:eastAsia="Times New Roman" w:hAnsi="Times New Roman"/>
          <w:b w:val="1"/>
          <w:bCs w:val="1"/>
          <w:i w:val="1"/>
          <w:iCs w:val="1"/>
          <w:color w:val="000000"/>
        </w:rPr>
      </w:pPr>
      <w:r w:rsidDel="00000000" w:rsidR="00000000" w:rsidRPr="00000000">
        <w:rPr>
          <w:rFonts w:ascii="Times New Roman" w:cs="Times New Roman" w:eastAsia="Times New Roman" w:hAnsi="Times New Roman"/>
          <w:b w:val="1"/>
          <w:bCs w:val="1"/>
          <w:i w:val="1"/>
          <w:iCs w:val="1"/>
          <w:color w:val="000000"/>
          <w:rtl w:val="0"/>
        </w:rPr>
        <w:t xml:space="preserve">Curs </w:t>
      </w:r>
    </w:p>
    <w:tbl>
      <w:tblPr>
        <w:tblStyle w:val="Table5"/>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2"/>
        <w:gridCol w:w="2944"/>
        <w:gridCol w:w="4852"/>
        <w:gridCol w:w="959"/>
        <w:tblGridChange w:id="0">
          <w:tblGrid>
            <w:gridCol w:w="992"/>
            <w:gridCol w:w="2944"/>
            <w:gridCol w:w="4852"/>
            <w:gridCol w:w="959"/>
          </w:tblGrid>
        </w:tblGridChange>
      </w:tblGrid>
      <w:tr>
        <w:trPr>
          <w:cantSplit w:val="0"/>
          <w:tblHeader w:val="0"/>
        </w:trPr>
        <w:tc>
          <w:tcPr/>
          <w:p w:rsidR="00000000" w:rsidDel="00000000" w:rsidP="00000000" w:rsidRDefault="00000000" w:rsidRPr="00000000" w14:paraId="00000056">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Curs</w:t>
            </w:r>
          </w:p>
        </w:tc>
        <w:tc>
          <w:tcPr>
            <w:shd w:fill="auto" w:val="clear"/>
          </w:tcPr>
          <w:p w:rsidR="00000000" w:rsidDel="00000000" w:rsidP="00000000" w:rsidRDefault="00000000" w:rsidRPr="00000000" w14:paraId="00000057">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Denumire </w:t>
            </w:r>
          </w:p>
        </w:tc>
        <w:tc>
          <w:tcPr>
            <w:shd w:fill="auto" w:val="clear"/>
          </w:tcPr>
          <w:p w:rsidR="00000000" w:rsidDel="00000000" w:rsidP="00000000" w:rsidRDefault="00000000" w:rsidRPr="00000000" w14:paraId="00000058">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Conținuturi</w:t>
            </w:r>
          </w:p>
        </w:tc>
        <w:tc>
          <w:tcPr>
            <w:shd w:fill="auto" w:val="clear"/>
          </w:tcPr>
          <w:p w:rsidR="00000000" w:rsidDel="00000000" w:rsidP="00000000" w:rsidRDefault="00000000" w:rsidRPr="00000000" w14:paraId="00000059">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rHeight w:val="1020" w:hRule="atLeast"/>
          <w:tblHeader w:val="0"/>
        </w:trPr>
        <w:tc>
          <w:tcPr/>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[C1]</w:t>
            </w:r>
          </w:p>
        </w:tc>
        <w:tc>
          <w:tcPr>
            <w:shd w:fill="auto" w:val="clear"/>
          </w:tcPr>
          <w:p w:rsidR="00000000" w:rsidDel="00000000" w:rsidP="00000000" w:rsidRDefault="00000000" w:rsidRPr="00000000" w14:paraId="0000005B">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Introducere în politica europeană </w:t>
            </w:r>
          </w:p>
        </w:tc>
        <w:tc>
          <w:tcPr>
            <w:shd w:fill="auto" w:val="clear"/>
          </w:tcPr>
          <w:p w:rsidR="00000000" w:rsidDel="00000000" w:rsidP="00000000" w:rsidRDefault="00000000" w:rsidRPr="00000000" w14:paraId="0000005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Introducerea temelor și bibliografiei</w:t>
            </w:r>
          </w:p>
        </w:tc>
        <w:tc>
          <w:tcPr>
            <w:shd w:fill="auto" w:val="clear"/>
          </w:tcPr>
          <w:p w:rsidR="00000000" w:rsidDel="00000000" w:rsidP="00000000" w:rsidRDefault="00000000" w:rsidRPr="00000000" w14:paraId="0000005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5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825" w:hRule="atLeast"/>
          <w:tblHeader w:val="0"/>
        </w:trPr>
        <w:tc>
          <w:tcPr/>
          <w:p w:rsidR="00000000" w:rsidDel="00000000" w:rsidP="00000000" w:rsidRDefault="00000000" w:rsidRPr="00000000" w14:paraId="0000005F">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[C2]</w:t>
            </w:r>
            <w:r w:rsidDel="00000000" w:rsidR="00000000" w:rsidRPr="00000000">
              <w:rPr>
                <w:rtl w:val="0"/>
              </w:rPr>
            </w:r>
          </w:p>
        </w:tc>
        <w:tc>
          <w:tcPr>
            <w:shd w:fill="auto" w:val="clear"/>
          </w:tcPr>
          <w:p w:rsidR="00000000" w:rsidDel="00000000" w:rsidP="00000000" w:rsidRDefault="00000000" w:rsidRPr="00000000" w14:paraId="00000060">
            <w:pPr>
              <w:spacing w:after="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Transformarile statului european</w:t>
            </w:r>
          </w:p>
        </w:tc>
        <w:tc>
          <w:tcPr>
            <w:shd w:fill="auto" w:val="clear"/>
          </w:tcPr>
          <w:p w:rsidR="00000000" w:rsidDel="00000000" w:rsidP="00000000" w:rsidRDefault="00000000" w:rsidRPr="00000000" w14:paraId="00000061">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Modernizarea europeană și statele națiune. Dezvoltarea capitalismului și a regimurilor bunăstării. Democratizare.</w:t>
            </w:r>
          </w:p>
        </w:tc>
        <w:tc>
          <w:tcPr>
            <w:shd w:fill="auto" w:val="clear"/>
          </w:tcPr>
          <w:p w:rsidR="00000000" w:rsidDel="00000000" w:rsidP="00000000" w:rsidRDefault="00000000" w:rsidRPr="00000000" w14:paraId="0000006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6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[C</w:t>
            </w:r>
            <w:r w:rsidDel="00000000" w:rsidR="00000000" w:rsidRPr="00000000">
              <w:rPr>
                <w:rFonts w:ascii="Times New Roman" w:cs="Times New Roman" w:eastAsia="Times New Roman" w:hAnsi="Times New Roman"/>
                <w:rtl w:val="0"/>
              </w:rPr>
              <w:t xml:space="preserve">3</w:t>
            </w:r>
            <w:r w:rsidDel="00000000" w:rsidR="00000000" w:rsidRPr="00000000">
              <w:rPr>
                <w:rFonts w:ascii="Times New Roman" w:cs="Times New Roman" w:eastAsia="Times New Roman" w:hAnsi="Times New Roman"/>
                <w:color w:val="000000"/>
                <w:rtl w:val="0"/>
              </w:rPr>
              <w:t xml:space="preserve">]</w:t>
            </w:r>
            <w:r w:rsidDel="00000000" w:rsidR="00000000" w:rsidRPr="00000000">
              <w:rPr>
                <w:rtl w:val="0"/>
              </w:rPr>
            </w:r>
          </w:p>
        </w:tc>
        <w:tc>
          <w:tcPr>
            <w:shd w:fill="auto" w:val="clear"/>
          </w:tcPr>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Teoriile construcției europene</w:t>
            </w:r>
          </w:p>
        </w:tc>
        <w:tc>
          <w:tcPr>
            <w:shd w:fill="auto" w:val="clear"/>
          </w:tcPr>
          <w:p w:rsidR="00000000" w:rsidDel="00000000" w:rsidP="00000000" w:rsidRDefault="00000000" w:rsidRPr="00000000" w14:paraId="00000066">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Teoriile clasice: Federalism, neofuncționalism și liberalism inter-guvernamental. Guvernanța multi-nivel. Teoriile neoinstituționaliste: alegere rațională, istoric și constructivist.</w:t>
            </w:r>
            <w:r w:rsidDel="00000000" w:rsidR="00000000" w:rsidRPr="00000000">
              <w:rPr>
                <w:rtl w:val="0"/>
              </w:rPr>
            </w:r>
          </w:p>
        </w:tc>
        <w:tc>
          <w:tcPr>
            <w:shd w:fill="auto" w:val="clear"/>
          </w:tcPr>
          <w:p w:rsidR="00000000" w:rsidDel="00000000" w:rsidP="00000000" w:rsidRDefault="00000000" w:rsidRPr="00000000" w14:paraId="0000006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6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[C</w:t>
            </w:r>
            <w:r w:rsidDel="00000000" w:rsidR="00000000" w:rsidRPr="00000000">
              <w:rPr>
                <w:rFonts w:ascii="Times New Roman" w:cs="Times New Roman" w:eastAsia="Times New Roman" w:hAnsi="Times New Roman"/>
                <w:rtl w:val="0"/>
              </w:rPr>
              <w:t xml:space="preserve">4</w:t>
            </w:r>
            <w:r w:rsidDel="00000000" w:rsidR="00000000" w:rsidRPr="00000000">
              <w:rPr>
                <w:rFonts w:ascii="Times New Roman" w:cs="Times New Roman" w:eastAsia="Times New Roman" w:hAnsi="Times New Roman"/>
                <w:color w:val="000000"/>
                <w:rtl w:val="0"/>
              </w:rPr>
              <w:t xml:space="preserve">]</w:t>
            </w:r>
            <w:r w:rsidDel="00000000" w:rsidR="00000000" w:rsidRPr="00000000">
              <w:rPr>
                <w:rtl w:val="0"/>
              </w:rPr>
            </w:r>
          </w:p>
        </w:tc>
        <w:tc>
          <w:tcPr>
            <w:shd w:fill="auto" w:val="clear"/>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Uniunea Europeană ca sistem politic</w:t>
            </w:r>
            <w:r w:rsidDel="00000000" w:rsidR="00000000" w:rsidRPr="00000000">
              <w:rPr>
                <w:rtl w:val="0"/>
              </w:rPr>
            </w:r>
          </w:p>
        </w:tc>
        <w:tc>
          <w:tcPr>
            <w:shd w:fill="auto" w:val="clear"/>
          </w:tcPr>
          <w:p w:rsidR="00000000" w:rsidDel="00000000" w:rsidP="00000000" w:rsidRDefault="00000000" w:rsidRPr="00000000" w14:paraId="0000006B">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Designul instituțional al Uniunii Europene. Interconectarea cu sistemele politice naționale ale statelor membre.</w:t>
            </w:r>
            <w:r w:rsidDel="00000000" w:rsidR="00000000" w:rsidRPr="00000000">
              <w:rPr>
                <w:rtl w:val="0"/>
              </w:rPr>
            </w:r>
          </w:p>
        </w:tc>
        <w:tc>
          <w:tcPr>
            <w:shd w:fill="auto" w:val="clear"/>
          </w:tcPr>
          <w:p w:rsidR="00000000" w:rsidDel="00000000" w:rsidP="00000000" w:rsidRDefault="00000000" w:rsidRPr="00000000" w14:paraId="0000006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6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[C</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color w:val="000000"/>
                <w:rtl w:val="0"/>
              </w:rPr>
              <w:t xml:space="preserve">]</w:t>
            </w:r>
            <w:r w:rsidDel="00000000" w:rsidR="00000000" w:rsidRPr="00000000">
              <w:rPr>
                <w:rtl w:val="0"/>
              </w:rPr>
            </w:r>
          </w:p>
        </w:tc>
        <w:tc>
          <w:tcPr>
            <w:shd w:fill="auto" w:val="clear"/>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Legitimitate și reprezentare în guvernarea europeană.</w:t>
            </w:r>
            <w:r w:rsidDel="00000000" w:rsidR="00000000" w:rsidRPr="00000000">
              <w:rPr>
                <w:rtl w:val="0"/>
              </w:rPr>
            </w:r>
          </w:p>
        </w:tc>
        <w:tc>
          <w:tcPr>
            <w:shd w:fill="auto" w:val="clear"/>
          </w:tcPr>
          <w:p w:rsidR="00000000" w:rsidDel="00000000" w:rsidP="00000000" w:rsidRDefault="00000000" w:rsidRPr="00000000" w14:paraId="00000070">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Cartografierea instituțiilor și proceselor decizionale ale UE. Principii de reprezentare și tipuri de legitimitate. </w:t>
            </w:r>
            <w:r w:rsidDel="00000000" w:rsidR="00000000" w:rsidRPr="00000000">
              <w:rPr>
                <w:rtl w:val="0"/>
              </w:rPr>
            </w:r>
          </w:p>
        </w:tc>
        <w:tc>
          <w:tcPr>
            <w:shd w:fill="auto" w:val="clear"/>
          </w:tcPr>
          <w:p w:rsidR="00000000" w:rsidDel="00000000" w:rsidP="00000000" w:rsidRDefault="00000000" w:rsidRPr="00000000" w14:paraId="0000007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7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[C</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color w:val="000000"/>
                <w:rtl w:val="0"/>
              </w:rPr>
              <w:t xml:space="preserve">]</w:t>
            </w:r>
            <w:r w:rsidDel="00000000" w:rsidR="00000000" w:rsidRPr="00000000">
              <w:rPr>
                <w:rtl w:val="0"/>
              </w:rPr>
            </w:r>
          </w:p>
        </w:tc>
        <w:tc>
          <w:tcPr>
            <w:shd w:fill="auto" w:val="clear"/>
          </w:tcPr>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Modelul democratic european</w:t>
            </w:r>
            <w:r w:rsidDel="00000000" w:rsidR="00000000" w:rsidRPr="00000000">
              <w:rPr>
                <w:rtl w:val="0"/>
              </w:rPr>
            </w:r>
          </w:p>
        </w:tc>
        <w:tc>
          <w:tcPr>
            <w:shd w:fill="auto" w:val="clear"/>
          </w:tcPr>
          <w:p w:rsidR="00000000" w:rsidDel="00000000" w:rsidP="00000000" w:rsidRDefault="00000000" w:rsidRPr="00000000" w14:paraId="00000075">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Modelele majoritariste și consensualiste de luare a deciziilor. </w:t>
            </w:r>
            <w:r w:rsidDel="00000000" w:rsidR="00000000" w:rsidRPr="00000000">
              <w:rPr>
                <w:rtl w:val="0"/>
              </w:rPr>
            </w:r>
          </w:p>
        </w:tc>
        <w:tc>
          <w:tcPr>
            <w:shd w:fill="auto" w:val="clear"/>
          </w:tcPr>
          <w:p w:rsidR="00000000" w:rsidDel="00000000" w:rsidP="00000000" w:rsidRDefault="00000000" w:rsidRPr="00000000" w14:paraId="0000007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7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w:t>
            </w:r>
            <w:r w:rsidDel="00000000" w:rsidR="00000000" w:rsidRPr="00000000">
              <w:rPr>
                <w:rFonts w:ascii="Times New Roman" w:cs="Times New Roman" w:eastAsia="Times New Roman" w:hAnsi="Times New Roman"/>
                <w:rtl w:val="0"/>
              </w:rPr>
              <w:t xml:space="preserve">7</w:t>
            </w:r>
            <w:r w:rsidDel="00000000" w:rsidR="00000000" w:rsidRPr="00000000">
              <w:rPr>
                <w:rFonts w:ascii="Times New Roman" w:cs="Times New Roman" w:eastAsia="Times New Roman" w:hAnsi="Times New Roman"/>
                <w:color w:val="000000"/>
                <w:rtl w:val="0"/>
              </w:rPr>
              <w:t xml:space="preserve">]</w:t>
            </w:r>
          </w:p>
        </w:tc>
        <w:tc>
          <w:tcPr>
            <w:shd w:fill="auto" w:val="clear"/>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Clivaje politice europene</w:t>
            </w:r>
            <w:r w:rsidDel="00000000" w:rsidR="00000000" w:rsidRPr="00000000">
              <w:rPr>
                <w:rtl w:val="0"/>
              </w:rPr>
            </w:r>
          </w:p>
        </w:tc>
        <w:tc>
          <w:tcPr>
            <w:shd w:fill="auto" w:val="clear"/>
          </w:tcPr>
          <w:p w:rsidR="00000000" w:rsidDel="00000000" w:rsidP="00000000" w:rsidRDefault="00000000" w:rsidRPr="00000000" w14:paraId="0000007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Clivajele multi-dimensionale și clivajul pro și anti integrare europeană.</w:t>
            </w:r>
          </w:p>
        </w:tc>
        <w:tc>
          <w:tcPr>
            <w:shd w:fill="auto" w:val="clear"/>
          </w:tcPr>
          <w:p w:rsidR="00000000" w:rsidDel="00000000" w:rsidP="00000000" w:rsidRDefault="00000000" w:rsidRPr="00000000" w14:paraId="0000007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7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887" w:hRule="atLeast"/>
          <w:tblHeader w:val="0"/>
        </w:trPr>
        <w:tc>
          <w:tcPr/>
          <w:p w:rsidR="00000000" w:rsidDel="00000000" w:rsidP="00000000" w:rsidRDefault="00000000" w:rsidRPr="00000000" w14:paraId="0000007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[C8]</w:t>
            </w:r>
          </w:p>
        </w:tc>
        <w:tc>
          <w:tcPr>
            <w:shd w:fill="auto" w:val="clear"/>
          </w:tcPr>
          <w:p w:rsidR="00000000" w:rsidDel="00000000" w:rsidP="00000000" w:rsidRDefault="00000000" w:rsidRPr="00000000" w14:paraId="0000007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Federatiile europene de partide </w:t>
            </w:r>
          </w:p>
        </w:tc>
        <w:tc>
          <w:tcPr>
            <w:shd w:fill="auto" w:val="clear"/>
          </w:tcPr>
          <w:p w:rsidR="00000000" w:rsidDel="00000000" w:rsidP="00000000" w:rsidRDefault="00000000" w:rsidRPr="00000000" w14:paraId="0000007F">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Istoria federațiilor europene de partide. Integrare și organizarea. Funcții.</w:t>
            </w:r>
          </w:p>
        </w:tc>
        <w:tc>
          <w:tcPr>
            <w:shd w:fill="auto" w:val="clear"/>
          </w:tcPr>
          <w:p w:rsidR="00000000" w:rsidDel="00000000" w:rsidP="00000000" w:rsidRDefault="00000000" w:rsidRPr="00000000" w14:paraId="0000008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8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887" w:hRule="atLeast"/>
          <w:tblHeader w:val="0"/>
        </w:trPr>
        <w:tc>
          <w:tcPr/>
          <w:p w:rsidR="00000000" w:rsidDel="00000000" w:rsidP="00000000" w:rsidRDefault="00000000" w:rsidRPr="00000000" w14:paraId="00000082">
            <w:pPr>
              <w:tabs>
                <w:tab w:val="left" w:leader="none" w:pos="426"/>
              </w:tabs>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[C9]</w:t>
            </w:r>
          </w:p>
        </w:tc>
        <w:tc>
          <w:tcPr>
            <w:shd w:fill="auto" w:val="clear"/>
          </w:tcPr>
          <w:p w:rsidR="00000000" w:rsidDel="00000000" w:rsidP="00000000" w:rsidRDefault="00000000" w:rsidRPr="00000000" w14:paraId="0000008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Alegerile europene</w:t>
            </w:r>
          </w:p>
        </w:tc>
        <w:tc>
          <w:tcPr>
            <w:shd w:fill="auto" w:val="clear"/>
          </w:tcPr>
          <w:p w:rsidR="00000000" w:rsidDel="00000000" w:rsidP="00000000" w:rsidRDefault="00000000" w:rsidRPr="00000000" w14:paraId="0000008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Sistemele electorale europene și alegerea Parlamentului Europeană. Efecte asupra competiției de partid.</w:t>
            </w:r>
          </w:p>
        </w:tc>
        <w:tc>
          <w:tcPr>
            <w:shd w:fill="auto" w:val="clear"/>
          </w:tcPr>
          <w:p w:rsidR="00000000" w:rsidDel="00000000" w:rsidP="00000000" w:rsidRDefault="00000000" w:rsidRPr="00000000" w14:paraId="0000008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8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87">
            <w:pPr>
              <w:tabs>
                <w:tab w:val="left" w:leader="none" w:pos="426"/>
              </w:tabs>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[C10]</w:t>
            </w:r>
          </w:p>
        </w:tc>
        <w:tc>
          <w:tcPr>
            <w:shd w:fill="auto" w:val="clear"/>
          </w:tcPr>
          <w:p w:rsidR="00000000" w:rsidDel="00000000" w:rsidP="00000000" w:rsidRDefault="00000000" w:rsidRPr="00000000" w14:paraId="0000008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Identitate europeană</w:t>
            </w:r>
          </w:p>
        </w:tc>
        <w:tc>
          <w:tcPr>
            <w:shd w:fill="auto" w:val="clear"/>
          </w:tcPr>
          <w:p w:rsidR="00000000" w:rsidDel="00000000" w:rsidP="00000000" w:rsidRDefault="00000000" w:rsidRPr="00000000" w14:paraId="00000089">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Dinamica identității politice europene. </w:t>
            </w:r>
          </w:p>
        </w:tc>
        <w:tc>
          <w:tcPr>
            <w:shd w:fill="auto" w:val="clear"/>
          </w:tcPr>
          <w:p w:rsidR="00000000" w:rsidDel="00000000" w:rsidP="00000000" w:rsidRDefault="00000000" w:rsidRPr="00000000" w14:paraId="0000008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8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8C">
            <w:pPr>
              <w:tabs>
                <w:tab w:val="left" w:leader="none" w:pos="426"/>
              </w:tabs>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[C11]</w:t>
            </w:r>
          </w:p>
        </w:tc>
        <w:tc>
          <w:tcPr>
            <w:shd w:fill="auto" w:val="clear"/>
          </w:tcPr>
          <w:p w:rsidR="00000000" w:rsidDel="00000000" w:rsidP="00000000" w:rsidRDefault="00000000" w:rsidRPr="00000000" w14:paraId="0000008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Euroscepticismul și populismul suveranist</w:t>
            </w:r>
          </w:p>
        </w:tc>
        <w:tc>
          <w:tcPr>
            <w:shd w:fill="auto" w:val="clear"/>
          </w:tcPr>
          <w:p w:rsidR="00000000" w:rsidDel="00000000" w:rsidP="00000000" w:rsidRDefault="00000000" w:rsidRPr="00000000" w14:paraId="0000008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Opoziția față de integrarea europeană. Argumente, actori, procese.</w:t>
            </w:r>
          </w:p>
        </w:tc>
        <w:tc>
          <w:tcPr>
            <w:shd w:fill="auto" w:val="clear"/>
          </w:tcPr>
          <w:p w:rsidR="00000000" w:rsidDel="00000000" w:rsidP="00000000" w:rsidRDefault="00000000" w:rsidRPr="00000000" w14:paraId="0000008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9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91">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[C12]</w:t>
            </w:r>
          </w:p>
        </w:tc>
        <w:tc>
          <w:tcPr>
            <w:shd w:fill="auto" w:val="clear"/>
          </w:tcPr>
          <w:p w:rsidR="00000000" w:rsidDel="00000000" w:rsidP="00000000" w:rsidRDefault="00000000" w:rsidRPr="00000000" w14:paraId="00000092">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Europenizarea sistemelor politice și administrative</w:t>
            </w:r>
          </w:p>
        </w:tc>
        <w:tc>
          <w:tcPr>
            <w:shd w:fill="auto" w:val="clear"/>
          </w:tcPr>
          <w:p w:rsidR="00000000" w:rsidDel="00000000" w:rsidP="00000000" w:rsidRDefault="00000000" w:rsidRPr="00000000" w14:paraId="00000093">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Efectele guvernării europene. Transformări sistemice</w:t>
            </w:r>
          </w:p>
        </w:tc>
        <w:tc>
          <w:tcPr>
            <w:shd w:fill="auto" w:val="clear"/>
          </w:tcPr>
          <w:p w:rsidR="00000000" w:rsidDel="00000000" w:rsidP="00000000" w:rsidRDefault="00000000" w:rsidRPr="00000000" w14:paraId="0000009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9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96">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[C13]</w:t>
            </w:r>
          </w:p>
        </w:tc>
        <w:tc>
          <w:tcPr>
            <w:shd w:fill="auto" w:val="clear"/>
          </w:tcPr>
          <w:p w:rsidR="00000000" w:rsidDel="00000000" w:rsidP="00000000" w:rsidRDefault="00000000" w:rsidRPr="00000000" w14:paraId="00000097">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Europenizarea politicilor</w:t>
            </w:r>
          </w:p>
        </w:tc>
        <w:tc>
          <w:tcPr>
            <w:shd w:fill="auto" w:val="clear"/>
          </w:tcPr>
          <w:p w:rsidR="00000000" w:rsidDel="00000000" w:rsidP="00000000" w:rsidRDefault="00000000" w:rsidRPr="00000000" w14:paraId="0000009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Efectele guvernării europene asupra politicilor naționale și asupra societăților statelor membre.</w:t>
            </w:r>
          </w:p>
        </w:tc>
        <w:tc>
          <w:tcPr>
            <w:shd w:fill="auto" w:val="clear"/>
          </w:tcPr>
          <w:p w:rsidR="00000000" w:rsidDel="00000000" w:rsidP="00000000" w:rsidRDefault="00000000" w:rsidRPr="00000000" w14:paraId="0000009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9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9B">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[C14]</w:t>
            </w:r>
          </w:p>
        </w:tc>
        <w:tc>
          <w:tcPr>
            <w:shd w:fill="auto" w:val="clear"/>
          </w:tcPr>
          <w:p w:rsidR="00000000" w:rsidDel="00000000" w:rsidP="00000000" w:rsidRDefault="00000000" w:rsidRPr="00000000" w14:paraId="0000009C">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Prelegere recapitulativă</w:t>
            </w:r>
          </w:p>
        </w:tc>
        <w:tc>
          <w:tcPr>
            <w:shd w:fill="auto" w:val="clear"/>
          </w:tcPr>
          <w:p w:rsidR="00000000" w:rsidDel="00000000" w:rsidP="00000000" w:rsidRDefault="00000000" w:rsidRPr="00000000" w14:paraId="0000009D">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Teme principale de politică europeană.</w:t>
            </w:r>
          </w:p>
        </w:tc>
        <w:tc>
          <w:tcPr>
            <w:shd w:fill="auto" w:val="clear"/>
          </w:tcPr>
          <w:p w:rsidR="00000000" w:rsidDel="00000000" w:rsidP="00000000" w:rsidRDefault="00000000" w:rsidRPr="00000000" w14:paraId="0000009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9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376" w:hRule="atLeast"/>
          <w:tblHeader w:val="0"/>
        </w:trPr>
        <w:tc>
          <w:tcPr/>
          <w:p w:rsidR="00000000" w:rsidDel="00000000" w:rsidP="00000000" w:rsidRDefault="00000000" w:rsidRPr="00000000" w14:paraId="000000A0">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A1">
            <w:pPr>
              <w:spacing w:after="0" w:lineRule="auto"/>
              <w:rPr>
                <w:rFonts w:ascii="Times New Roman" w:cs="Times New Roman" w:eastAsia="Times New Roman" w:hAnsi="Times New Roman"/>
                <w:b w:val="1"/>
                <w:bCs w:val="1"/>
              </w:rPr>
            </w:pPr>
            <w:r w:rsidDel="00000000" w:rsidR="00000000" w:rsidRPr="00000000">
              <w:rPr>
                <w:rtl w:val="0"/>
              </w:rPr>
            </w:r>
          </w:p>
        </w:tc>
        <w:tc>
          <w:tcPr>
            <w:shd w:fill="auto" w:val="clear"/>
          </w:tcPr>
          <w:p w:rsidR="00000000" w:rsidDel="00000000" w:rsidP="00000000" w:rsidRDefault="00000000" w:rsidRPr="00000000" w14:paraId="000000A2">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shd w:fill="auto" w:val="clear"/>
          </w:tcPr>
          <w:p w:rsidR="00000000" w:rsidDel="00000000" w:rsidP="00000000" w:rsidRDefault="00000000" w:rsidRPr="00000000" w14:paraId="000000A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C=28h, </w:t>
            </w:r>
          </w:p>
          <w:p w:rsidR="00000000" w:rsidDel="00000000" w:rsidP="00000000" w:rsidRDefault="00000000" w:rsidRPr="00000000" w14:paraId="000000A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SI=47</w:t>
            </w:r>
          </w:p>
        </w:tc>
      </w:tr>
    </w:tbl>
    <w:p w:rsidR="00000000" w:rsidDel="00000000" w:rsidP="00000000" w:rsidRDefault="00000000" w:rsidRPr="00000000" w14:paraId="000000A5">
      <w:pPr>
        <w:spacing w:line="36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0A6">
      <w:pPr>
        <w:numPr>
          <w:ilvl w:val="0"/>
          <w:numId w:val="1"/>
        </w:numPr>
        <w:spacing w:after="0" w:lineRule="auto"/>
        <w:ind w:left="400" w:hanging="360"/>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Aplicaţii*</w:t>
      </w:r>
    </w:p>
    <w:tbl>
      <w:tblPr>
        <w:tblStyle w:val="Table6"/>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98"/>
        <w:gridCol w:w="3330"/>
        <w:gridCol w:w="4356"/>
        <w:gridCol w:w="963"/>
        <w:tblGridChange w:id="0">
          <w:tblGrid>
            <w:gridCol w:w="1098"/>
            <w:gridCol w:w="3330"/>
            <w:gridCol w:w="4356"/>
            <w:gridCol w:w="963"/>
          </w:tblGrid>
        </w:tblGridChange>
      </w:tblGrid>
      <w:tr>
        <w:trPr>
          <w:cantSplit w:val="0"/>
          <w:tblHeader w:val="0"/>
        </w:trPr>
        <w:tc>
          <w:tcPr/>
          <w:p w:rsidR="00000000" w:rsidDel="00000000" w:rsidP="00000000" w:rsidRDefault="00000000" w:rsidRPr="00000000" w14:paraId="000000A7">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Seminar</w:t>
            </w:r>
          </w:p>
        </w:tc>
        <w:tc>
          <w:tcPr>
            <w:shd w:fill="auto" w:val="clear"/>
          </w:tcPr>
          <w:p w:rsidR="00000000" w:rsidDel="00000000" w:rsidP="00000000" w:rsidRDefault="00000000" w:rsidRPr="00000000" w14:paraId="000000A8">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Denumire </w:t>
            </w:r>
          </w:p>
        </w:tc>
        <w:tc>
          <w:tcPr>
            <w:shd w:fill="auto" w:val="clear"/>
          </w:tcPr>
          <w:p w:rsidR="00000000" w:rsidDel="00000000" w:rsidP="00000000" w:rsidRDefault="00000000" w:rsidRPr="00000000" w14:paraId="000000A9">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Conținuturi</w:t>
            </w:r>
          </w:p>
        </w:tc>
        <w:tc>
          <w:tcPr>
            <w:shd w:fill="auto" w:val="clear"/>
          </w:tcPr>
          <w:p w:rsidR="00000000" w:rsidDel="00000000" w:rsidP="00000000" w:rsidRDefault="00000000" w:rsidRPr="00000000" w14:paraId="000000AA">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rHeight w:val="512" w:hRule="atLeast"/>
          <w:tblHeader w:val="0"/>
        </w:trPr>
        <w:tc>
          <w:tcPr/>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C">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 Introductiv</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D">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Prezentarea seminarului și a lectorului; prezentarea planului de lucru, a resurselor puse la dispoziția studenților/studentelor și a cerințelor de participare și evaluare.</w:t>
            </w:r>
          </w:p>
        </w:tc>
        <w:tc>
          <w:tcPr>
            <w:shd w:fill="auto" w:val="clear"/>
          </w:tcPr>
          <w:p w:rsidR="00000000" w:rsidDel="00000000" w:rsidP="00000000" w:rsidRDefault="00000000" w:rsidRPr="00000000" w14:paraId="000000A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A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SI=0</w:t>
            </w:r>
          </w:p>
        </w:tc>
      </w:tr>
      <w:tr>
        <w:trPr>
          <w:cantSplit w:val="0"/>
          <w:trHeight w:val="1342" w:hRule="atLeast"/>
          <w:tblHeader w:val="0"/>
        </w:trPr>
        <w:tc>
          <w:tcPr/>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[S2]</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1">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Politici Europene și Politici Autohtone. Negociere și Conflict I</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2">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Vintilă Mihăilescu (2004). Porcul legal și porcul real, Societatea Reală, 43-62.</w:t>
            </w:r>
          </w:p>
        </w:tc>
        <w:tc>
          <w:tcPr>
            <w:shd w:fill="auto" w:val="clear"/>
          </w:tcPr>
          <w:p w:rsidR="00000000" w:rsidDel="00000000" w:rsidP="00000000" w:rsidRDefault="00000000" w:rsidRPr="00000000" w14:paraId="000000B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B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[S3]</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6">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Politici Europene și Politici Autohtone. Negociere și Conflict II</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7">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Ștefan Dorondel și Mihai Popa (2014). Administrative Lists, European Union Food Aid, and the Local Practices of Distribution in Rural Romania. Social Analysis, Volume 58, Issue 3, Winter 2014, 124–140 © Berghahn Journals</w:t>
            </w:r>
          </w:p>
        </w:tc>
        <w:tc>
          <w:tcPr>
            <w:shd w:fill="auto" w:val="clear"/>
          </w:tcPr>
          <w:p w:rsidR="00000000" w:rsidDel="00000000" w:rsidP="00000000" w:rsidRDefault="00000000" w:rsidRPr="00000000" w14:paraId="000000B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B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[S4]</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B">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Politică Europeană și Tranziție în România </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C">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Cornel Ban (2014). Dependenta și Dezvoltare. Economia politică a capitalismului românesc. (cap. 6), Ed. Tact.</w:t>
            </w:r>
          </w:p>
        </w:tc>
        <w:tc>
          <w:tcPr>
            <w:shd w:fill="auto" w:val="clear"/>
          </w:tcPr>
          <w:p w:rsidR="00000000" w:rsidDel="00000000" w:rsidP="00000000" w:rsidRDefault="00000000" w:rsidRPr="00000000" w14:paraId="000000B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B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[S5]</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0">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Alegerile Europene</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1">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Nick Clark, Robert Rohrschneider (2009), Second-order Elections versus First-Order Thinking: How Voters Perceive the Representation Process in a Multi-Layered System of Governance, Journal of European Integration, Vol.31, No. 5, pp.645-664.</w:t>
            </w:r>
          </w:p>
        </w:tc>
        <w:tc>
          <w:tcPr>
            <w:shd w:fill="auto" w:val="clear"/>
          </w:tcPr>
          <w:p w:rsidR="00000000" w:rsidDel="00000000" w:rsidP="00000000" w:rsidRDefault="00000000" w:rsidRPr="00000000" w14:paraId="000000C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C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[S6]</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5">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Proiectul european în pericol? I Dinamica Euroscepticismului</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6">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Catherine Sorensen (2013), Love me, love me not... A typology of public euroscepticism, WP No 101, pp.1-29.</w:t>
            </w:r>
          </w:p>
        </w:tc>
        <w:tc>
          <w:tcPr>
            <w:shd w:fill="auto" w:val="clear"/>
          </w:tcPr>
          <w:p w:rsidR="00000000" w:rsidDel="00000000" w:rsidP="00000000" w:rsidRDefault="00000000" w:rsidRPr="00000000" w14:paraId="000000C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C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887" w:hRule="atLeast"/>
          <w:tblHeader w:val="0"/>
        </w:trPr>
        <w:tc>
          <w:tcPr/>
          <w:p w:rsidR="00000000" w:rsidDel="00000000" w:rsidP="00000000" w:rsidRDefault="00000000" w:rsidRPr="00000000" w14:paraId="000000C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[S7]</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A">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Proiectul european în pericol? II Europopulism</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B">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Hanspeter Kriesi (2014). The Populist Challenge. West European Politics, 37:2</w:t>
            </w:r>
          </w:p>
        </w:tc>
        <w:tc>
          <w:tcPr>
            <w:shd w:fill="auto" w:val="clear"/>
          </w:tcPr>
          <w:p w:rsidR="00000000" w:rsidDel="00000000" w:rsidP="00000000" w:rsidRDefault="00000000" w:rsidRPr="00000000" w14:paraId="000000C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C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1944" w:hRule="atLeast"/>
          <w:tblHeader w:val="0"/>
        </w:trPr>
        <w:tc>
          <w:tcPr/>
          <w:p w:rsidR="00000000" w:rsidDel="00000000" w:rsidP="00000000" w:rsidRDefault="00000000" w:rsidRPr="00000000" w14:paraId="000000CE">
            <w:pPr>
              <w:tabs>
                <w:tab w:val="left" w:leader="none" w:pos="426"/>
              </w:tabs>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[S8]</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F">
            <w:pPr>
              <w:tabs>
                <w:tab w:val="left" w:leader="none" w:pos="426"/>
              </w:tabs>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Proiectul european în pericol? III</w:t>
            </w:r>
          </w:p>
          <w:p w:rsidR="00000000" w:rsidDel="00000000" w:rsidP="00000000" w:rsidRDefault="00000000" w:rsidRPr="00000000" w14:paraId="000000D0">
            <w:pPr>
              <w:tabs>
                <w:tab w:val="left" w:leader="none" w:pos="426"/>
              </w:tabs>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Brexit</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1">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Film - Brexit: The Uncivil War (2019)</w:t>
            </w:r>
          </w:p>
        </w:tc>
        <w:tc>
          <w:tcPr>
            <w:shd w:fill="auto" w:val="clear"/>
          </w:tcPr>
          <w:p w:rsidR="00000000" w:rsidDel="00000000" w:rsidP="00000000" w:rsidRDefault="00000000" w:rsidRPr="00000000" w14:paraId="000000D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D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D4">
            <w:pPr>
              <w:tabs>
                <w:tab w:val="left" w:leader="none" w:pos="426"/>
              </w:tabs>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[S9]</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5">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Cadrul Financiar Multianual.</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6">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Becker, P. (2019). A new budget for the EU: negotiations on the multiannual financial framework 2021-2027. Berlin: Stiftung Wissenschaft und Politik -SWP- Deutsches Institut für Internationale Politik und Sicherheit. https://doi.org/10.18449/2019RP11</w:t>
            </w:r>
          </w:p>
        </w:tc>
        <w:tc>
          <w:tcPr>
            <w:shd w:fill="auto" w:val="clear"/>
          </w:tcPr>
          <w:p w:rsidR="00000000" w:rsidDel="00000000" w:rsidP="00000000" w:rsidRDefault="00000000" w:rsidRPr="00000000" w14:paraId="000000D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D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D9">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[S10]</w:t>
            </w:r>
          </w:p>
        </w:tc>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0DA">
            <w:pPr>
              <w:tabs>
                <w:tab w:val="left" w:leader="none" w:pos="426"/>
              </w:tabs>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Politică și Economie Europeană I – Introducere</w:t>
            </w:r>
          </w:p>
        </w:tc>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0DB">
            <w:pPr>
              <w:spacing w:after="240" w:before="240" w:lineRule="auto"/>
              <w:jc w:val="both"/>
              <w:rPr>
                <w:rFonts w:ascii="Times New Roman" w:cs="Times New Roman" w:eastAsia="Times New Roman" w:hAnsi="Times New Roman"/>
                <w:color w:val="ffffff"/>
              </w:rPr>
            </w:pPr>
            <w:r w:rsidDel="00000000" w:rsidR="00000000" w:rsidRPr="00000000">
              <w:rPr>
                <w:rFonts w:ascii="Times New Roman" w:cs="Times New Roman" w:eastAsia="Times New Roman" w:hAnsi="Times New Roman"/>
                <w:rtl w:val="0"/>
              </w:rPr>
              <w:t xml:space="preserve"> Krugman, P. (1996). A Country Is Not A Company, Harvard Business Review.</w:t>
            </w:r>
            <w:r w:rsidDel="00000000" w:rsidR="00000000" w:rsidRPr="00000000">
              <w:rPr>
                <w:rtl w:val="0"/>
              </w:rPr>
            </w:r>
          </w:p>
        </w:tc>
        <w:tc>
          <w:tcPr>
            <w:shd w:fill="auto" w:val="clear"/>
          </w:tcPr>
          <w:p w:rsidR="00000000" w:rsidDel="00000000" w:rsidP="00000000" w:rsidRDefault="00000000" w:rsidRPr="00000000" w14:paraId="000000D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D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DE">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[S11]</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F">
            <w:pPr>
              <w:tabs>
                <w:tab w:val="left" w:leader="none" w:pos="426"/>
              </w:tabs>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Politică și Economie Europeană II – Uniunea Monetară</w:t>
            </w:r>
          </w:p>
        </w:tc>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0E0">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Nello, S. (2012). Chapter 9, The Theory of Monetary and Economic Union, in European Union: Economics, Policies and History (3rd ed), McGraw-Hill.</w:t>
            </w:r>
          </w:p>
        </w:tc>
        <w:tc>
          <w:tcPr>
            <w:shd w:fill="auto" w:val="clear"/>
          </w:tcPr>
          <w:p w:rsidR="00000000" w:rsidDel="00000000" w:rsidP="00000000" w:rsidRDefault="00000000" w:rsidRPr="00000000" w14:paraId="000000E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E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E3">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[S12]</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4">
            <w:pPr>
              <w:tabs>
                <w:tab w:val="left" w:leader="none" w:pos="426"/>
              </w:tabs>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Convergență și Coeziune.</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5">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Epstein, R. (2014). Overcoming ‘Economic Backwardness’ in the European Union, in JCMS Volume 52. Number 1. pp. 17–34</w:t>
            </w:r>
          </w:p>
        </w:tc>
        <w:tc>
          <w:tcPr>
            <w:shd w:fill="auto" w:val="clear"/>
          </w:tcPr>
          <w:p w:rsidR="00000000" w:rsidDel="00000000" w:rsidP="00000000" w:rsidRDefault="00000000" w:rsidRPr="00000000" w14:paraId="000000E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E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E8">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[S13]</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9">
            <w:pPr>
              <w:tabs>
                <w:tab w:val="left" w:leader="none" w:pos="426"/>
              </w:tabs>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Politica de Securitate Comună</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A">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Dezbatere generală</w:t>
            </w:r>
          </w:p>
        </w:tc>
        <w:tc>
          <w:tcPr>
            <w:shd w:fill="auto" w:val="clear"/>
          </w:tcPr>
          <w:p w:rsidR="00000000" w:rsidDel="00000000" w:rsidP="00000000" w:rsidRDefault="00000000" w:rsidRPr="00000000" w14:paraId="000000E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E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ED">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[S14]</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E">
            <w:pPr>
              <w:tabs>
                <w:tab w:val="left" w:leader="none" w:pos="426"/>
              </w:tabs>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European Green Deal (dezbatere)</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F">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Dezbatere generală</w:t>
            </w:r>
          </w:p>
        </w:tc>
        <w:tc>
          <w:tcPr>
            <w:shd w:fill="auto" w:val="clear"/>
          </w:tcPr>
          <w:p w:rsidR="00000000" w:rsidDel="00000000" w:rsidP="00000000" w:rsidRDefault="00000000" w:rsidRPr="00000000" w14:paraId="000000F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F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376" w:hRule="atLeast"/>
          <w:tblHeader w:val="0"/>
        </w:trPr>
        <w:tc>
          <w:tcPr/>
          <w:p w:rsidR="00000000" w:rsidDel="00000000" w:rsidP="00000000" w:rsidRDefault="00000000" w:rsidRPr="00000000" w14:paraId="000000F2">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3">
            <w:pPr>
              <w:spacing w:after="0" w:lineRule="auto"/>
              <w:rPr>
                <w:rFonts w:ascii="Times New Roman" w:cs="Times New Roman" w:eastAsia="Times New Roman" w:hAnsi="Times New Roman"/>
                <w:b w:val="1"/>
                <w:bCs w:val="1"/>
              </w:rPr>
            </w:pPr>
            <w:r w:rsidDel="00000000" w:rsidR="00000000" w:rsidRPr="00000000">
              <w:rPr>
                <w:rtl w:val="0"/>
              </w:rPr>
            </w:r>
          </w:p>
        </w:tc>
        <w:tc>
          <w:tcPr>
            <w:shd w:fill="auto" w:val="clear"/>
          </w:tcPr>
          <w:p w:rsidR="00000000" w:rsidDel="00000000" w:rsidP="00000000" w:rsidRDefault="00000000" w:rsidRPr="00000000" w14:paraId="000000F4">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shd w:fill="auto" w:val="clear"/>
          </w:tcPr>
          <w:p w:rsidR="00000000" w:rsidDel="00000000" w:rsidP="00000000" w:rsidRDefault="00000000" w:rsidRPr="00000000" w14:paraId="000000F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S=28h</w:t>
            </w:r>
          </w:p>
          <w:p w:rsidR="00000000" w:rsidDel="00000000" w:rsidP="00000000" w:rsidRDefault="00000000" w:rsidRPr="00000000" w14:paraId="000000F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SI=47</w:t>
            </w:r>
          </w:p>
        </w:tc>
      </w:tr>
    </w:tbl>
    <w:p w:rsidR="00000000" w:rsidDel="00000000" w:rsidP="00000000" w:rsidRDefault="00000000" w:rsidRPr="00000000" w14:paraId="000000F7">
      <w:pPr>
        <w:spacing w:after="0" w:line="360" w:lineRule="auto"/>
        <w:ind w:right="-567"/>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8">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F9">
      <w:pPr>
        <w:spacing w:after="0" w:line="36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0FA">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7"/>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shd w:fill="auto" w:val="clear"/>
          </w:tcPr>
          <w:p w:rsidR="00000000" w:rsidDel="00000000" w:rsidP="00000000" w:rsidRDefault="00000000" w:rsidRPr="00000000" w14:paraId="000000FB">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shd w:fill="auto" w:val="clear"/>
          </w:tcPr>
          <w:p w:rsidR="00000000" w:rsidDel="00000000" w:rsidP="00000000" w:rsidRDefault="00000000" w:rsidRPr="00000000" w14:paraId="000000FC">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shd w:fill="auto" w:val="clear"/>
          </w:tcPr>
          <w:p w:rsidR="00000000" w:rsidDel="00000000" w:rsidP="00000000" w:rsidRDefault="00000000" w:rsidRPr="00000000" w14:paraId="000000FD">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shd w:fill="auto" w:val="clear"/>
          </w:tcPr>
          <w:p w:rsidR="00000000" w:rsidDel="00000000" w:rsidP="00000000" w:rsidRDefault="00000000" w:rsidRPr="00000000" w14:paraId="000000FE">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shd w:fill="auto" w:val="clear"/>
          </w:tcPr>
          <w:p w:rsidR="00000000" w:rsidDel="00000000" w:rsidP="00000000" w:rsidRDefault="00000000" w:rsidRPr="00000000" w14:paraId="000000FF">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Finală (examen)</w:t>
            </w:r>
          </w:p>
        </w:tc>
        <w:tc>
          <w:tcPr>
            <w:shd w:fill="auto" w:val="clear"/>
          </w:tcPr>
          <w:p w:rsidR="00000000" w:rsidDel="00000000" w:rsidP="00000000" w:rsidRDefault="00000000" w:rsidRPr="00000000" w14:paraId="00000100">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r>
      <w:tr>
        <w:trPr>
          <w:cantSplit w:val="0"/>
          <w:tblHeader w:val="0"/>
        </w:trPr>
        <w:tc>
          <w:tcPr>
            <w:shd w:fill="auto" w:val="clear"/>
          </w:tcPr>
          <w:p w:rsidR="00000000" w:rsidDel="00000000" w:rsidP="00000000" w:rsidRDefault="00000000" w:rsidRPr="00000000" w14:paraId="00000101">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shd w:fill="auto" w:val="clear"/>
          </w:tcPr>
          <w:p w:rsidR="00000000" w:rsidDel="00000000" w:rsidP="00000000" w:rsidRDefault="00000000" w:rsidRPr="00000000" w14:paraId="0000010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Continuă (prezentări, 3 teste)</w:t>
            </w:r>
          </w:p>
        </w:tc>
        <w:tc>
          <w:tcPr>
            <w:shd w:fill="auto" w:val="clear"/>
          </w:tcPr>
          <w:p w:rsidR="00000000" w:rsidDel="00000000" w:rsidP="00000000" w:rsidRDefault="00000000" w:rsidRPr="00000000" w14:paraId="00000103">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r>
    </w:tbl>
    <w:p w:rsidR="00000000" w:rsidDel="00000000" w:rsidP="00000000" w:rsidRDefault="00000000" w:rsidRPr="00000000" w14:paraId="00000104">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05">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8"/>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0"/>
          <w:tblHeader w:val="0"/>
        </w:trPr>
        <w:tc>
          <w:tcPr>
            <w:shd w:fill="auto" w:val="clear"/>
          </w:tcPr>
          <w:p w:rsidR="00000000" w:rsidDel="00000000" w:rsidP="00000000" w:rsidRDefault="00000000" w:rsidRPr="00000000" w14:paraId="00000106">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shd w:fill="auto" w:val="clear"/>
          </w:tcPr>
          <w:p w:rsidR="00000000" w:rsidDel="00000000" w:rsidP="00000000" w:rsidRDefault="00000000" w:rsidRPr="00000000" w14:paraId="00000107">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shd w:fill="auto" w:val="clear"/>
          </w:tcPr>
          <w:p w:rsidR="00000000" w:rsidDel="00000000" w:rsidP="00000000" w:rsidRDefault="00000000" w:rsidRPr="00000000" w14:paraId="0000010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shd w:fill="auto" w:val="clear"/>
          </w:tcPr>
          <w:p w:rsidR="00000000" w:rsidDel="00000000" w:rsidP="00000000" w:rsidRDefault="00000000" w:rsidRPr="00000000" w14:paraId="00000109">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Cunoașterea sistemului politic al Uniunii Europene. Cunoașterea și definirea unor concepte de bază precum clivaje politice europene, federații europene de partide, euroscepticism, europenizarea. Capacitatea de a redactat un text academic de analiză descriptiv - explicativă a unui proces, fenomen sau eveniment politic european.</w:t>
            </w:r>
          </w:p>
        </w:tc>
      </w:tr>
      <w:tr>
        <w:trPr>
          <w:cantSplit w:val="0"/>
          <w:trHeight w:val="315" w:hRule="atLeast"/>
          <w:tblHeader w:val="0"/>
        </w:trPr>
        <w:tc>
          <w:tcPr>
            <w:shd w:fill="auto" w:val="clear"/>
          </w:tcPr>
          <w:p w:rsidR="00000000" w:rsidDel="00000000" w:rsidP="00000000" w:rsidRDefault="00000000" w:rsidRPr="00000000" w14:paraId="0000010A">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shd w:fill="auto" w:val="clear"/>
          </w:tcPr>
          <w:p w:rsidR="00000000" w:rsidDel="00000000" w:rsidP="00000000" w:rsidRDefault="00000000" w:rsidRPr="00000000" w14:paraId="0000010B">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Cunoașterea detaliată a sistemului politic al Uniunii Europene. Cunoașterea și definirea tuturor  conceptelor de bază sau avansate discutate în timpul cursurilor și seminariilor. Capacitatea de a redacta texte academice de analiză descriptiv - explicativă a unor procese, fenomene sau evenimente politice europene, texte de bună calitate atât ca documentație cât și ca argumentare și prezentare. Participarea activă la activitățile de curs și seminar.</w:t>
            </w:r>
          </w:p>
        </w:tc>
      </w:tr>
    </w:tbl>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240" w:line="36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24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F. REPERE METODOLOGICE</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10E">
      <w:pPr>
        <w:spacing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folosită în cadrul disciplinei Politică Europeană este una de tip participativ, care pune accentul pe interacțiune în procesul învățării. Interacțiunea se referă atât la cea dintre studenți și profesori cât și la relațiile de colaborare dintre studenți pe parcursul orelor și perioadelor de pregătire. În al doilea rând, se subliniază dimensiunea aplicativă activității didactice, studenții fiind încurajați să observe și să cerceteze activ dinamica politică europeană. În al treilea rând, se va încuraja dezvoltarea abilităților de cercetare, dezbatere și redactare academică. </w:t>
      </w:r>
    </w:p>
    <w:p w:rsidR="00000000" w:rsidDel="00000000" w:rsidP="00000000" w:rsidRDefault="00000000" w:rsidRPr="00000000" w14:paraId="0000010F">
      <w:pPr>
        <w:spacing w:line="360" w:lineRule="auto"/>
        <w:ind w:right="-567"/>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tbl>
      <w:tblPr>
        <w:tblStyle w:val="Table9"/>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8994"/>
        <w:tblGridChange w:id="0">
          <w:tblGrid>
            <w:gridCol w:w="753"/>
            <w:gridCol w:w="8994"/>
          </w:tblGrid>
        </w:tblGridChange>
      </w:tblGrid>
      <w:tr>
        <w:trPr>
          <w:cantSplit w:val="0"/>
          <w:tblHeader w:val="0"/>
        </w:trPr>
        <w:tc>
          <w:tcPr>
            <w:shd w:fill="auto" w:val="clear"/>
          </w:tcPr>
          <w:p w:rsidR="00000000" w:rsidDel="00000000" w:rsidP="00000000" w:rsidRDefault="00000000" w:rsidRPr="00000000" w14:paraId="00000110">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 </w:t>
            </w:r>
          </w:p>
        </w:tc>
        <w:tc>
          <w:tcPr>
            <w:shd w:fill="auto" w:val="clear"/>
          </w:tcPr>
          <w:p w:rsidR="00000000" w:rsidDel="00000000" w:rsidP="00000000" w:rsidRDefault="00000000" w:rsidRPr="00000000" w14:paraId="00000111">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Nume material/resursă didactică</w:t>
            </w:r>
          </w:p>
        </w:tc>
      </w:tr>
      <w:tr>
        <w:trPr>
          <w:cantSplit w:val="0"/>
          <w:tblHeader w:val="0"/>
        </w:trPr>
        <w:tc>
          <w:tcPr>
            <w:shd w:fill="auto" w:val="clear"/>
          </w:tcPr>
          <w:p w:rsidR="00000000" w:rsidDel="00000000" w:rsidP="00000000" w:rsidRDefault="00000000" w:rsidRPr="00000000" w14:paraId="0000011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Pr>
          <w:p w:rsidR="00000000" w:rsidDel="00000000" w:rsidP="00000000" w:rsidRDefault="00000000" w:rsidRPr="00000000" w14:paraId="00000113">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Resurse online;</w:t>
            </w:r>
          </w:p>
        </w:tc>
      </w:tr>
      <w:tr>
        <w:trPr>
          <w:cantSplit w:val="0"/>
          <w:tblHeader w:val="0"/>
        </w:trPr>
        <w:tc>
          <w:tcPr>
            <w:shd w:fill="auto" w:val="clear"/>
          </w:tcPr>
          <w:p w:rsidR="00000000" w:rsidDel="00000000" w:rsidP="00000000" w:rsidRDefault="00000000" w:rsidRPr="00000000" w14:paraId="00000114">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Pr>
          <w:p w:rsidR="00000000" w:rsidDel="00000000" w:rsidP="00000000" w:rsidRDefault="00000000" w:rsidRPr="00000000" w14:paraId="00000115">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Materiale in format tipărit si materiale video privind procesele studiate.</w:t>
            </w:r>
          </w:p>
        </w:tc>
      </w:tr>
    </w:tbl>
    <w:p w:rsidR="00000000" w:rsidDel="00000000" w:rsidP="00000000" w:rsidRDefault="00000000" w:rsidRPr="00000000" w14:paraId="00000116">
      <w:pPr>
        <w:spacing w:line="360" w:lineRule="auto"/>
        <w:rPr>
          <w:rFonts w:ascii="Times New Roman" w:cs="Times New Roman" w:eastAsia="Times New Roman" w:hAnsi="Times New Roman"/>
          <w:b w:val="1"/>
          <w:bCs w:val="1"/>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-4760</wp:posOffset>
                </wp:positionH>
                <wp:positionV relativeFrom="paragraph">
                  <wp:posOffset>128588</wp:posOffset>
                </wp:positionV>
                <wp:extent cx="4638675" cy="285750"/>
                <wp:effectExtent b="0" l="0" r="0" t="0"/>
                <wp:wrapNone/>
                <wp:docPr id="5" name=""/>
                <a:graphic>
                  <a:graphicData uri="http://schemas.microsoft.com/office/word/2010/wordprocessingShape">
                    <wps:wsp>
                      <wps:cNvSpPr/>
                      <wps:cNvPr id="2" name="Shape 2"/>
                      <wps:spPr>
                        <a:xfrm>
                          <a:off x="3036188" y="3646650"/>
                          <a:ext cx="4619625" cy="266700"/>
                        </a:xfrm>
                        <a:prstGeom prst="rect">
                          <a:avLst/>
                        </a:prstGeom>
                        <a:solidFill>
                          <a:srgbClr val="FFFFFF"/>
                        </a:solidFill>
                        <a:ln>
                          <a:noFill/>
                        </a:ln>
                      </wps:spPr>
                      <wps:txbx>
                        <w:txbxContent>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G. BIBLIOGRAFIE</w:t>
                            </w:r>
                            <w:r w:rsidDel="00000000" w:rsidR="00000000" w:rsidRPr="00000000">
                              <w:rPr>
                                <w:rFonts w:ascii="Times New Roman" w:cs="Times New Roman" w:eastAsia="Times New Roman" w:hAnsi="Times New Roman"/>
                                <w:b w:val="1"/>
                                <w:i w:val="0"/>
                                <w:smallCaps w:val="0"/>
                                <w:strike w:val="0"/>
                                <w:color w:val="000000"/>
                                <w:sz w:val="23"/>
                                <w:vertAlign w:val="baseline"/>
                              </w:rPr>
                              <w:t xml:space="preserve"> </w:t>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3"/>
                                <w:vertAlign w:val="baseline"/>
                              </w:rPr>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3"/>
                                <w:vertAlign w:val="baseline"/>
                              </w:rPr>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3"/>
                                <w:vertAlign w:val="baseline"/>
                              </w:rPr>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3"/>
                                <w:vertAlign w:val="baseline"/>
                              </w:rPr>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3"/>
                                <w:vertAlign w:val="baseline"/>
                              </w:rPr>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3"/>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-4760</wp:posOffset>
                </wp:positionH>
                <wp:positionV relativeFrom="paragraph">
                  <wp:posOffset>128588</wp:posOffset>
                </wp:positionV>
                <wp:extent cx="4638675" cy="285750"/>
                <wp:effectExtent b="0" l="0" r="0" t="0"/>
                <wp:wrapNone/>
                <wp:docPr id="5"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4638675" cy="285750"/>
                        </a:xfrm>
                        <a:prstGeom prst="rect"/>
                        <a:ln/>
                      </pic:spPr>
                    </pic:pic>
                  </a:graphicData>
                </a:graphic>
              </wp:anchor>
            </w:drawing>
          </mc:Fallback>
        </mc:AlternateContent>
      </w:r>
    </w:p>
    <w:p w:rsidR="00000000" w:rsidDel="00000000" w:rsidP="00000000" w:rsidRDefault="00000000" w:rsidRPr="00000000" w14:paraId="00000117">
      <w:pPr>
        <w:spacing w:line="360" w:lineRule="auto"/>
        <w:rPr>
          <w:rFonts w:ascii="Times New Roman" w:cs="Times New Roman" w:eastAsia="Times New Roman" w:hAnsi="Times New Roman"/>
          <w:b w:val="1"/>
          <w:bCs w:val="1"/>
        </w:rPr>
      </w:pPr>
      <w:r w:rsidDel="00000000" w:rsidR="00000000" w:rsidRPr="00000000">
        <w:rPr>
          <w:rtl w:val="0"/>
        </w:rPr>
      </w:r>
    </w:p>
    <w:tbl>
      <w:tblPr>
        <w:tblStyle w:val="Table10"/>
        <w:tblW w:w="9738.0" w:type="dxa"/>
        <w:jc w:val="left"/>
        <w:tblLayout w:type="fixed"/>
        <w:tblLook w:val="0000"/>
      </w:tblPr>
      <w:tblGrid>
        <w:gridCol w:w="468"/>
        <w:gridCol w:w="2970"/>
        <w:gridCol w:w="3330"/>
        <w:gridCol w:w="2970"/>
        <w:tblGridChange w:id="0">
          <w:tblGrid>
            <w:gridCol w:w="468"/>
            <w:gridCol w:w="2970"/>
            <w:gridCol w:w="3330"/>
            <w:gridCol w:w="2970"/>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8">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9">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Autor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A">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Titlul lucrării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B">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Editură/ jurnal/an</w:t>
            </w:r>
          </w:p>
        </w:tc>
      </w:tr>
      <w:tr>
        <w:trPr>
          <w:cantSplit w:val="0"/>
          <w:trHeight w:val="853.4033203125"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C">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D">
            <w:pPr>
              <w:spacing w:after="240" w:before="24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Hayward, J. si Menon, A. </w:t>
            </w:r>
            <w:r w:rsidDel="00000000" w:rsidR="00000000" w:rsidRPr="00000000">
              <w:rPr>
                <w:rFonts w:ascii="Times New Roman" w:cs="Times New Roman" w:eastAsia="Times New Roman" w:hAnsi="Times New Roman"/>
                <w:i w:val="1"/>
                <w:iCs w:val="1"/>
                <w:rtl w:val="0"/>
              </w:rPr>
              <w:t xml:space="preserve">ed.</w:t>
            </w:r>
            <w:r w:rsidDel="00000000" w:rsidR="00000000" w:rsidRPr="00000000">
              <w:rPr>
                <w:rFonts w:ascii="Times New Roman" w:cs="Times New Roman" w:eastAsia="Times New Roman" w:hAnsi="Times New Roman"/>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E">
            <w:pPr>
              <w:spacing w:after="240" w:before="24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Governing Europe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F">
            <w:pPr>
              <w:spacing w:after="240" w:before="24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Oxford University Press  (2003)</w:t>
            </w:r>
          </w:p>
          <w:p w:rsidR="00000000" w:rsidDel="00000000" w:rsidP="00000000" w:rsidRDefault="00000000" w:rsidRPr="00000000" w14:paraId="00000120">
            <w:pPr>
              <w:spacing w:after="0" w:line="360" w:lineRule="auto"/>
              <w:jc w:val="both"/>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1">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2">
            <w:pPr>
              <w:tabs>
                <w:tab w:val="left" w:leader="none" w:pos="1470"/>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Simon Hix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3">
            <w:pPr>
              <w:tabs>
                <w:tab w:val="left" w:leader="none" w:pos="1470"/>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Political System of the European Union, 2nd Edition.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4">
            <w:pPr>
              <w:tabs>
                <w:tab w:val="left" w:leader="none" w:pos="1470"/>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Palgrave (2005)</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5">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6">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Jones, E., Menon, A., Weatherill, S.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7">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Oxford Handbook of the European Union.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8">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Oxford University Press (2012)</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9">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A">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Tony Judt</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B">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Epoca Postbelică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C">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Litera (2019)</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D">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E">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Bartolini, 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Restructuring Europe: Centre Formation, System Building, and Political Structuring between the Nation State and the European Union</w:t>
            </w:r>
          </w:p>
          <w:p w:rsidR="00000000" w:rsidDel="00000000" w:rsidP="00000000" w:rsidRDefault="00000000" w:rsidRPr="00000000" w14:paraId="00000130">
            <w:pPr>
              <w:spacing w:after="0" w:line="360" w:lineRule="auto"/>
              <w:jc w:val="both"/>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1">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Oxford University Press (2005)</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2">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3">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Kulahci, 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4">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Natura și politica partidelor europene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5">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Institutul European (2006)</w:t>
            </w:r>
          </w:p>
        </w:tc>
      </w:tr>
    </w:tbl>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39">
      <w:pP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w:t>
        <w:tab/>
        <w:t xml:space="preserve">   TITULAR DE DISCIPLINĂ, </w:t>
      </w:r>
      <w:r w:rsidDel="00000000" w:rsidR="00000000" w:rsidRPr="00000000">
        <w:rPr>
          <w:rtl w:val="0"/>
        </w:rPr>
      </w:r>
    </w:p>
    <w:p w:rsidR="00000000" w:rsidDel="00000000" w:rsidP="00000000" w:rsidRDefault="00000000" w:rsidRPr="00000000" w14:paraId="0000013A">
      <w:pPr>
        <w:spacing w:line="360" w:lineRule="auto"/>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Lect.univ.dr</w:t>
      </w:r>
      <w:r w:rsidDel="00000000" w:rsidR="00000000" w:rsidRPr="00000000">
        <w:rPr>
          <w:rFonts w:ascii="Times New Roman" w:cs="Times New Roman" w:eastAsia="Times New Roman" w:hAnsi="Times New Roman"/>
          <w:rtl w:val="0"/>
        </w:rPr>
        <w:t xml:space="preserve">. Claudiu Craciun                                                                         Lect. Univ. Dr. Claudiu Craciun</w:t>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C">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b w:val="1"/>
        <w:bCs w:val="1"/>
        <w:color w:val="000000"/>
        <w:sz w:val="20"/>
        <w:szCs w:val="20"/>
      </w:rPr>
    </w:pPr>
    <w:r w:rsidDel="00000000" w:rsidR="00000000" w:rsidRPr="00000000">
      <w:rPr/>
      <w:drawing>
        <wp:inline distB="0" distT="0" distL="0" distR="0">
          <wp:extent cx="4194138" cy="475874"/>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character" w:styleId="CommentReference">
    <w:name w:val="annotation reference"/>
    <w:basedOn w:val="DefaultParagraphFont"/>
    <w:uiPriority w:val="99"/>
    <w:semiHidden w:val="1"/>
    <w:unhideWhenUsed w:val="1"/>
    <w:rsid w:val="005B5988"/>
    <w:rPr>
      <w:sz w:val="16"/>
      <w:szCs w:val="16"/>
    </w:rPr>
  </w:style>
  <w:style w:type="paragraph" w:styleId="CommentText">
    <w:name w:val="annotation text"/>
    <w:basedOn w:val="Normal"/>
    <w:link w:val="CommentTextChar"/>
    <w:uiPriority w:val="99"/>
    <w:semiHidden w:val="1"/>
    <w:unhideWhenUsed w:val="1"/>
    <w:rsid w:val="005B5988"/>
    <w:pPr>
      <w:spacing w:line="240" w:lineRule="auto"/>
    </w:pPr>
    <w:rPr>
      <w:rFonts w:cs="Times New Roman"/>
      <w:sz w:val="20"/>
      <w:szCs w:val="20"/>
      <w:lang w:eastAsia="en-US"/>
    </w:rPr>
  </w:style>
  <w:style w:type="character" w:styleId="CommentTextChar" w:customStyle="1">
    <w:name w:val="Comment Text Char"/>
    <w:basedOn w:val="DefaultParagraphFont"/>
    <w:link w:val="CommentText"/>
    <w:uiPriority w:val="99"/>
    <w:semiHidden w:val="1"/>
    <w:rsid w:val="005B5988"/>
    <w:rPr>
      <w:rFonts w:cs="Times New Roman"/>
      <w:sz w:val="20"/>
      <w:szCs w:val="20"/>
      <w:lang w:eastAsia="en-US"/>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oq8dkheCbPgQxD2BpnDo3kbMPw==">CgMxLjAaHwoBMBIaChgICVIUChJ0YWJsZS5mNjk3ZzdiNnk3cnIaHwoBMRIaChgICVIUChJ0YWJsZS5weGV0d2Q1b2Rqajg4AHIhMUtkM1NpanZUcXhfbmNScGdKTEdxYWpGWXY1a2wta2Q2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2020-05-05T04:33:00Z</dcterms:created>
  <dc:creator>33</dc:creator>
</cp:coreProperties>
</file>